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Mobile: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Location: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linkedin.com/in/rjlindelof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RJLindelof.com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&amp; Business Leader | Platform Modernization Expert | Scaling SaaS &amp; Engineering Excellence</w:t>
      </w:r>
    </w:p>
    <w:p w:rsidR="00000000" w:rsidDel="00000000" w:rsidP="00000000" w:rsidRDefault="00000000" w:rsidRPr="00000000" w14:paraId="00000004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Proven Software Development Executive with 20 years of experience modernizing platforms, scaling SaaS solutions, and leading high-performing teams. Expertise in cloud-native architectures, API development, and CI/CD optimization to drive innovation, security, and scalability. Adept at aligning technology strategy with business objectives, fostering cross-functional collaboration, and mentoring teams to engineering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Scottsdale, AZ (Remote)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global teams &amp; SaaS modernization, achieving HIPAA, SOC 2, ISO 27001 compliance.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Redesigned eNcounter Now SaaS, reducing technical debt by 65% via .NET 8 upgrade.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Optimized engineering &amp; agile processes, increasing sprint velocity by 30%.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Strengthened security, resolving 95% of critical vulnerabilities via OWASP/SAST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Columbia, MD (Remote)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Modernized a legacy system to AWS, leveraging Terraform, Lambda, and Kubernetes.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Scaled the engineering team by 80%, accelerating a full platform rewrite.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Achieved a 99.95% uptime SLA, integrated AI-driven test automation, reducing manual testing by 30%.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Streamlined CI/CD &amp; DevOps, cutting non-production release issues by 45%.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Cedar Rapids, IA (Remote)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Upgraded core technologies, reducing technical debt by 25%.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Modernized UI with Bootstrap, reducing browser-related support tickets by 85%.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Optimized CI/CD &amp; system monitoring, cutting production failures by 40%.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operational costs by 30%, replacing legacy communication systems.</w:t>
      </w:r>
    </w:p>
    <w:p w:rsidR="00000000" w:rsidDel="00000000" w:rsidP="00000000" w:rsidRDefault="00000000" w:rsidRPr="00000000" w14:paraId="00000016">
      <w:pPr>
        <w:spacing w:after="0"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Additional Leadership Roles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Schaumburg, IL (Hybrid)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McHenry, IL (Hybrid)  </w:t>
      </w:r>
      <w:r w:rsidDel="00000000" w:rsidR="00000000" w:rsidRPr="00000000">
        <w:rPr>
          <w:i w:val="1"/>
          <w:rtl w:val="0"/>
        </w:rPr>
        <w:t xml:space="preserve">2012 – 2017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McHenry, IL (Hybrid)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 team of 22 senior developers, scaling operations, integrating two technology platforms, and optimizing CI/CD pipelines to drive high-performance SaaS development.</w:t>
      </w:r>
    </w:p>
    <w:p w:rsidR="00000000" w:rsidDel="00000000" w:rsidP="00000000" w:rsidRDefault="00000000" w:rsidRPr="00000000" w14:paraId="0000001D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before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Bachelor of Science in Computer Science</w:t>
      </w:r>
      <w:r w:rsidDel="00000000" w:rsidR="00000000" w:rsidRPr="00000000">
        <w:rPr>
          <w:rtl w:val="0"/>
        </w:rPr>
        <w:t xml:space="preserve"> | Columbia College Chicago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0" w:before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Associate of Science in Computer Science</w:t>
      </w:r>
      <w:r w:rsidDel="00000000" w:rsidR="00000000" w:rsidRPr="00000000">
        <w:rPr>
          <w:rtl w:val="0"/>
        </w:rPr>
        <w:t xml:space="preserve"> | McHenry County College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00" w:before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 &amp; Contributions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10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 - Providing industry insights and expertise to the technology campus, informing curriculum direction and program development.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Principal Tech Advisor</w:t>
      </w:r>
      <w:r w:rsidDel="00000000" w:rsidR="00000000" w:rsidRPr="00000000">
        <w:rPr>
          <w:rtl w:val="0"/>
        </w:rPr>
        <w:t xml:space="preserve">, Car-Dun-Al Training - Providing tech guidance &amp; oversight for all club technology initiatives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Speaker and Sponsor</w:t>
      </w:r>
      <w:r w:rsidDel="00000000" w:rsidR="00000000" w:rsidRPr="00000000">
        <w:rPr>
          <w:rtl w:val="0"/>
        </w:rPr>
        <w:t xml:space="preserve"> of the Software Craftsmanship Mchenry County organization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Co-Author &amp; Lead book reviewer</w:t>
      </w:r>
      <w:r w:rsidDel="00000000" w:rsidR="00000000" w:rsidRPr="00000000">
        <w:rPr>
          <w:rtl w:val="0"/>
        </w:rPr>
        <w:t xml:space="preserve"> for Responsive Web Design with jQuery - ISBN 9781782163602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jl.link" TargetMode="External"/><Relationship Id="rId9" Type="http://schemas.openxmlformats.org/officeDocument/2006/relationships/hyperlink" Target="https://rjl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indelo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